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5FC" w:rsidRDefault="00E45A91">
      <w:pPr>
        <w:jc w:val="center"/>
        <w:rPr>
          <w:rFonts w:ascii="Verdana" w:eastAsia="Verdana" w:hAnsi="Verdana" w:cs="Verdana"/>
          <w:b/>
          <w:color w:val="794D01"/>
          <w:sz w:val="32"/>
          <w:szCs w:val="32"/>
        </w:rPr>
      </w:pPr>
      <w:bookmarkStart w:id="0" w:name="_GoBack"/>
      <w:bookmarkEnd w:id="0"/>
      <w:r>
        <w:rPr>
          <w:rFonts w:ascii="Verdana" w:eastAsia="Verdana" w:hAnsi="Verdana" w:cs="Verdana"/>
          <w:b/>
          <w:color w:val="794D01"/>
          <w:sz w:val="32"/>
          <w:szCs w:val="32"/>
        </w:rPr>
        <w:t>OAXACA ESPECIAL AL 2X1 5 días / 4 Noches</w:t>
      </w:r>
    </w:p>
    <w:p w:rsidR="005E65FC" w:rsidRDefault="00E45A91">
      <w:pPr>
        <w:jc w:val="center"/>
        <w:rPr>
          <w:rFonts w:ascii="Verdana" w:eastAsia="Verdana" w:hAnsi="Verdana" w:cs="Verdana"/>
          <w:b/>
          <w:color w:val="C0504D"/>
          <w:sz w:val="20"/>
          <w:szCs w:val="20"/>
        </w:rPr>
      </w:pPr>
      <w:r>
        <w:rPr>
          <w:rFonts w:ascii="Verdana" w:eastAsia="Verdana" w:hAnsi="Verdana" w:cs="Verdana"/>
          <w:b/>
          <w:color w:val="C0504D"/>
          <w:sz w:val="20"/>
          <w:szCs w:val="20"/>
        </w:rPr>
        <w:t>Oaxaca / Monte Albán / Arrazola / Cuilapan de Guerrero / San Bartolo Coyotepec / Tule / Mitla / Hierve el Agua / Teotitlán del Valle</w:t>
      </w:r>
    </w:p>
    <w:p w:rsidR="005E65FC" w:rsidRDefault="005E65FC">
      <w:pPr>
        <w:jc w:val="both"/>
        <w:rPr>
          <w:rFonts w:ascii="Verdana" w:eastAsia="Verdana" w:hAnsi="Verdana" w:cs="Verdana"/>
          <w:b/>
          <w:color w:val="794D01"/>
          <w:sz w:val="20"/>
          <w:szCs w:val="20"/>
        </w:rPr>
      </w:pPr>
    </w:p>
    <w:p w:rsidR="005E65FC" w:rsidRDefault="00E45A91">
      <w:pPr>
        <w:shd w:val="clear" w:color="auto" w:fill="FFFFFF"/>
        <w:jc w:val="both"/>
        <w:rPr>
          <w:rFonts w:ascii="Verdana" w:eastAsia="Verdana" w:hAnsi="Verdana" w:cs="Verdana"/>
          <w:color w:val="000066"/>
          <w:sz w:val="27"/>
          <w:szCs w:val="27"/>
        </w:rPr>
      </w:pPr>
      <w:r>
        <w:rPr>
          <w:rFonts w:ascii="Verdana" w:eastAsia="Verdana" w:hAnsi="Verdana" w:cs="Verdana"/>
          <w:b/>
          <w:color w:val="794D01"/>
          <w:sz w:val="20"/>
          <w:szCs w:val="20"/>
        </w:rPr>
        <w:t>Día 01 Aeropuerto de Oaxaca - Oaxaca</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Traslado del Aeropuerto de Oaxaca al hotel de Oaxaca.</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Noche de hospedaje en el Hotel Parador Crespo en habitación Standard. Incluidos: Transfer de llegada, Habitación.</w:t>
      </w:r>
    </w:p>
    <w:p w:rsidR="005E65FC" w:rsidRDefault="005E65FC">
      <w:pPr>
        <w:jc w:val="both"/>
        <w:rPr>
          <w:rFonts w:ascii="Verdana" w:eastAsia="Verdana" w:hAnsi="Verdana" w:cs="Verdana"/>
          <w:sz w:val="20"/>
          <w:szCs w:val="20"/>
        </w:rPr>
      </w:pPr>
    </w:p>
    <w:p w:rsidR="005E65FC" w:rsidRDefault="00E45A91">
      <w:pPr>
        <w:shd w:val="clear" w:color="auto" w:fill="FFFFFF"/>
        <w:jc w:val="both"/>
        <w:rPr>
          <w:rFonts w:ascii="Verdana" w:eastAsia="Verdana" w:hAnsi="Verdana" w:cs="Verdana"/>
          <w:color w:val="000066"/>
          <w:sz w:val="27"/>
          <w:szCs w:val="27"/>
        </w:rPr>
      </w:pPr>
      <w:r>
        <w:rPr>
          <w:rFonts w:ascii="Verdana" w:eastAsia="Verdana" w:hAnsi="Verdana" w:cs="Verdana"/>
          <w:b/>
          <w:color w:val="794D01"/>
          <w:sz w:val="20"/>
          <w:szCs w:val="20"/>
        </w:rPr>
        <w:t>Día 2 Oaxaca - City tour - Oaxaca</w:t>
      </w:r>
      <w:r>
        <w:rPr>
          <w:noProof/>
          <w:lang w:val="es-MX"/>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41275</wp:posOffset>
            </wp:positionV>
            <wp:extent cx="1259840" cy="824230"/>
            <wp:effectExtent l="0" t="0" r="0" b="0"/>
            <wp:wrapSquare wrapText="bothSides" distT="0" distB="0" distL="114300" distR="114300"/>
            <wp:docPr id="13" name="image1.jpg" descr="https://cdn-pictures.toogo.in/original/8b026fba/769efcce220c3bb4eb0801951a0ca2ff67708856ade843b5372d55776dbf6528/product_days/monte%20alban.jpg"/>
            <wp:cNvGraphicFramePr/>
            <a:graphic xmlns:a="http://schemas.openxmlformats.org/drawingml/2006/main">
              <a:graphicData uri="http://schemas.openxmlformats.org/drawingml/2006/picture">
                <pic:pic xmlns:pic="http://schemas.openxmlformats.org/drawingml/2006/picture">
                  <pic:nvPicPr>
                    <pic:cNvPr id="0" name="image1.jpg" descr="https://cdn-pictures.toogo.in/original/8b026fba/769efcce220c3bb4eb0801951a0ca2ff67708856ade843b5372d55776dbf6528/product_days/monte%20alban.jpg"/>
                    <pic:cNvPicPr preferRelativeResize="0"/>
                  </pic:nvPicPr>
                  <pic:blipFill>
                    <a:blip r:embed="rId8"/>
                    <a:srcRect l="8148" t="11455" r="37691"/>
                    <a:stretch>
                      <a:fillRect/>
                    </a:stretch>
                  </pic:blipFill>
                  <pic:spPr>
                    <a:xfrm>
                      <a:off x="0" y="0"/>
                      <a:ext cx="1259840" cy="824230"/>
                    </a:xfrm>
                    <a:prstGeom prst="rect">
                      <a:avLst/>
                    </a:prstGeom>
                    <a:ln/>
                  </pic:spPr>
                </pic:pic>
              </a:graphicData>
            </a:graphic>
          </wp:anchor>
        </w:drawing>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Cita en el lobby del hotel. Posteriormente realizare</w:t>
      </w:r>
      <w:r>
        <w:rPr>
          <w:rFonts w:ascii="Verdana" w:eastAsia="Verdana" w:hAnsi="Verdana" w:cs="Verdana"/>
          <w:sz w:val="20"/>
          <w:szCs w:val="20"/>
        </w:rPr>
        <w:t>mos la caminata por los principales sitios de interés de la ciudad, dónde a través de sabores, colores, aromas y cantera verde vamos descubriendo la historia de nuestra hermosa Oaxaca. Recorremos el Zócalo de la ciudad, declarado patrimonio de la humanidad</w:t>
      </w:r>
      <w:r>
        <w:rPr>
          <w:rFonts w:ascii="Verdana" w:eastAsia="Verdana" w:hAnsi="Verdana" w:cs="Verdana"/>
          <w:sz w:val="20"/>
          <w:szCs w:val="20"/>
        </w:rPr>
        <w:t xml:space="preserve"> por la Unesco. Los vendedores del mercado nos sorprenderán con un "¿qué le damos?" "¡Chapulines!" "¡Tortillas!", y los diferentes aromas provocarán nuestro antojo y prepararán nuestro paladar para degustar probaditas de quesillo, chapulines, nieves. Final</w:t>
      </w:r>
      <w:r>
        <w:rPr>
          <w:rFonts w:ascii="Verdana" w:eastAsia="Verdana" w:hAnsi="Verdana" w:cs="Verdana"/>
          <w:sz w:val="20"/>
          <w:szCs w:val="20"/>
        </w:rPr>
        <w:t>izamos con una molienda de chocolate. Por la tarde podrán regresar al hotel de Oaxaca. (Traslado por cuenta de los pasajeros) Noche de hospedaje en el Hotel Parador Crespo en habitación Standard. Incluidos: Excursión, Transporte, Habitación.</w:t>
      </w:r>
    </w:p>
    <w:p w:rsidR="005E65FC" w:rsidRDefault="005E65FC">
      <w:pPr>
        <w:jc w:val="both"/>
        <w:rPr>
          <w:rFonts w:ascii="Verdana" w:eastAsia="Verdana" w:hAnsi="Verdana" w:cs="Verdana"/>
          <w:sz w:val="20"/>
          <w:szCs w:val="20"/>
        </w:rPr>
      </w:pPr>
    </w:p>
    <w:p w:rsidR="005E65FC" w:rsidRDefault="00E45A91">
      <w:pPr>
        <w:shd w:val="clear" w:color="auto" w:fill="FFFFFF"/>
        <w:jc w:val="both"/>
        <w:rPr>
          <w:rFonts w:ascii="Verdana" w:eastAsia="Verdana" w:hAnsi="Verdana" w:cs="Verdana"/>
          <w:color w:val="000066"/>
          <w:sz w:val="27"/>
          <w:szCs w:val="27"/>
        </w:rPr>
      </w:pPr>
      <w:r>
        <w:rPr>
          <w:rFonts w:ascii="Verdana" w:eastAsia="Verdana" w:hAnsi="Verdana" w:cs="Verdana"/>
          <w:b/>
          <w:color w:val="794D01"/>
          <w:sz w:val="20"/>
          <w:szCs w:val="20"/>
        </w:rPr>
        <w:t>Día 3 Oaxaca-</w:t>
      </w:r>
      <w:r>
        <w:rPr>
          <w:rFonts w:ascii="Verdana" w:eastAsia="Verdana" w:hAnsi="Verdana" w:cs="Verdana"/>
          <w:b/>
          <w:color w:val="794D01"/>
          <w:sz w:val="20"/>
          <w:szCs w:val="20"/>
        </w:rPr>
        <w:t xml:space="preserve"> Monte Albán - Arrazola - Cuilápam de Guerrero - San Bartolo Coyotepec - Oaxaca</w:t>
      </w:r>
      <w:r>
        <w:rPr>
          <w:noProof/>
          <w:lang w:val="es-MX"/>
        </w:rPr>
        <w:drawing>
          <wp:anchor distT="0" distB="0" distL="114300" distR="114300" simplePos="0" relativeHeight="251659264" behindDoc="0" locked="0" layoutInCell="1" hidden="0" allowOverlap="1">
            <wp:simplePos x="0" y="0"/>
            <wp:positionH relativeFrom="column">
              <wp:posOffset>-3174</wp:posOffset>
            </wp:positionH>
            <wp:positionV relativeFrom="paragraph">
              <wp:posOffset>6350</wp:posOffset>
            </wp:positionV>
            <wp:extent cx="1188720" cy="842010"/>
            <wp:effectExtent l="0" t="0" r="0" b="0"/>
            <wp:wrapSquare wrapText="bothSides" distT="0" distB="0" distL="114300" distR="11430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188720" cy="842010"/>
                    </a:xfrm>
                    <a:prstGeom prst="rect">
                      <a:avLst/>
                    </a:prstGeom>
                    <a:ln/>
                  </pic:spPr>
                </pic:pic>
              </a:graphicData>
            </a:graphic>
          </wp:anchor>
        </w:drawing>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Cita en el lobby del Hotel. Posteriormente nos trasladaremos a la zona arqueológica de Monte Albán, nos impresionaremos por su gran plaza, el juego de pelota, los danzante, la tumba siete y mucho más, luego iremos colina abajo hasta encontrar el poblado de</w:t>
      </w:r>
      <w:r>
        <w:rPr>
          <w:rFonts w:ascii="Verdana" w:eastAsia="Verdana" w:hAnsi="Verdana" w:cs="Verdana"/>
          <w:sz w:val="20"/>
          <w:szCs w:val="20"/>
        </w:rPr>
        <w:t xml:space="preserve"> San Antonio Arrazola comunidad que nos cautivara con el color y magia que plasma cada artesano. La siguiente parada será Cuilápam de Guerrero, donde esta erigido uno de los íconos de Oaxaca del siglo XVI, el ex convento Dominico de Santiago Apóstol, para </w:t>
      </w:r>
      <w:r>
        <w:rPr>
          <w:rFonts w:ascii="Verdana" w:eastAsia="Verdana" w:hAnsi="Verdana" w:cs="Verdana"/>
          <w:sz w:val="20"/>
          <w:szCs w:val="20"/>
        </w:rPr>
        <w:t>finalizar visitaremos San Bartolo Coyotepec, en esta población se elabora la famosa cerámica de barro negro. Regreso al hotel de Oaxaca. Noche de hospedaje en el Hotel Parador Crespo en habitación Standard. Incluidos: Entrada(s), Excursión, Transporte, Hab</w:t>
      </w:r>
      <w:r>
        <w:rPr>
          <w:rFonts w:ascii="Verdana" w:eastAsia="Verdana" w:hAnsi="Verdana" w:cs="Verdana"/>
          <w:sz w:val="20"/>
          <w:szCs w:val="20"/>
        </w:rPr>
        <w:t>itación</w:t>
      </w:r>
    </w:p>
    <w:p w:rsidR="005E65FC" w:rsidRDefault="00E45A91">
      <w:pPr>
        <w:jc w:val="both"/>
        <w:rPr>
          <w:rFonts w:ascii="Verdana" w:eastAsia="Verdana" w:hAnsi="Verdana" w:cs="Verdana"/>
          <w:sz w:val="20"/>
          <w:szCs w:val="20"/>
        </w:rPr>
      </w:pPr>
      <w:r>
        <w:rPr>
          <w:noProof/>
          <w:lang w:val="es-MX"/>
        </w:rPr>
        <w:drawing>
          <wp:anchor distT="0" distB="0" distL="114300" distR="114300" simplePos="0" relativeHeight="251660288" behindDoc="0" locked="0" layoutInCell="1" hidden="0" allowOverlap="1">
            <wp:simplePos x="0" y="0"/>
            <wp:positionH relativeFrom="column">
              <wp:posOffset>33021</wp:posOffset>
            </wp:positionH>
            <wp:positionV relativeFrom="paragraph">
              <wp:posOffset>151765</wp:posOffset>
            </wp:positionV>
            <wp:extent cx="1122680" cy="842010"/>
            <wp:effectExtent l="0" t="0" r="0" b="0"/>
            <wp:wrapSquare wrapText="bothSides" distT="0" distB="0" distL="114300" distR="11430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1122680" cy="842010"/>
                    </a:xfrm>
                    <a:prstGeom prst="rect">
                      <a:avLst/>
                    </a:prstGeom>
                    <a:ln/>
                  </pic:spPr>
                </pic:pic>
              </a:graphicData>
            </a:graphic>
          </wp:anchor>
        </w:drawing>
      </w:r>
    </w:p>
    <w:p w:rsidR="005E65FC" w:rsidRDefault="00E45A91">
      <w:pPr>
        <w:shd w:val="clear" w:color="auto" w:fill="FFFFFF"/>
        <w:jc w:val="both"/>
        <w:rPr>
          <w:rFonts w:ascii="Verdana" w:eastAsia="Verdana" w:hAnsi="Verdana" w:cs="Verdana"/>
          <w:color w:val="000066"/>
          <w:sz w:val="27"/>
          <w:szCs w:val="27"/>
        </w:rPr>
      </w:pPr>
      <w:r>
        <w:rPr>
          <w:rFonts w:ascii="Verdana" w:eastAsia="Verdana" w:hAnsi="Verdana" w:cs="Verdana"/>
          <w:b/>
          <w:color w:val="794D01"/>
          <w:sz w:val="20"/>
          <w:szCs w:val="20"/>
        </w:rPr>
        <w:t>Día 4 Oaxaca - Tule - Mitla - Hierve el Agua - Teotitlán del Valle- Oaxaca</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 xml:space="preserve">Cita en el lobby del hotel de Oaxaca. Traslado al árbol del Tule, legendario ahuehuete con más de 2000 años de historia, en seguida visitaremos las cascadas petrificadas, </w:t>
      </w:r>
      <w:r>
        <w:rPr>
          <w:rFonts w:ascii="Verdana" w:eastAsia="Verdana" w:hAnsi="Verdana" w:cs="Verdana"/>
          <w:sz w:val="20"/>
          <w:szCs w:val="20"/>
        </w:rPr>
        <w:t>solo hay dos en el mundo Hierve el agua en Oaxaca y Pamukkale en Turquía. Continuaremos el tour con la visita a la zona arqueológica de Mitla “La ciudad de los muertos”, edificada por los mixtecos, donde admiraremos el sincretismo de sus edificaciones en p</w:t>
      </w:r>
      <w:r>
        <w:rPr>
          <w:rFonts w:ascii="Verdana" w:eastAsia="Verdana" w:hAnsi="Verdana" w:cs="Verdana"/>
          <w:sz w:val="20"/>
          <w:szCs w:val="20"/>
        </w:rPr>
        <w:t>aredes adornadas con grecas de piedra. Posteriormente degustaremos un rico mezcal, mientras conocemos su proceso artesanal de elaboración, finalizaremos el tour visitando Teotitlán del Valle, población reconocida por la elaboración de tapetes de lana. Regr</w:t>
      </w:r>
      <w:r>
        <w:rPr>
          <w:rFonts w:ascii="Verdana" w:eastAsia="Verdana" w:hAnsi="Verdana" w:cs="Verdana"/>
          <w:sz w:val="20"/>
          <w:szCs w:val="20"/>
        </w:rPr>
        <w:t>eso al hotel de Oaxaca. **EL Tule se encuentra sujeto a aperturas y cierres por lo que no se garantiza su visita. **La carretera a Hierve el Agua es bastante rústica. Noche de hospedaje en el Hotel Parador Crespo en habitación Standard. Incluidos: Entrada(</w:t>
      </w:r>
      <w:r>
        <w:rPr>
          <w:rFonts w:ascii="Verdana" w:eastAsia="Verdana" w:hAnsi="Verdana" w:cs="Verdana"/>
          <w:sz w:val="20"/>
          <w:szCs w:val="20"/>
        </w:rPr>
        <w:t>s), Excursión, Transporte, Habitación</w:t>
      </w:r>
    </w:p>
    <w:p w:rsidR="005E65FC" w:rsidRDefault="005E65FC">
      <w:pPr>
        <w:jc w:val="both"/>
        <w:rPr>
          <w:rFonts w:ascii="Verdana" w:eastAsia="Verdana" w:hAnsi="Verdana" w:cs="Verdana"/>
          <w:sz w:val="20"/>
          <w:szCs w:val="20"/>
        </w:rPr>
      </w:pPr>
    </w:p>
    <w:p w:rsidR="005E65FC" w:rsidRDefault="00E45A91">
      <w:pPr>
        <w:shd w:val="clear" w:color="auto" w:fill="FFFFFF"/>
        <w:jc w:val="both"/>
        <w:rPr>
          <w:rFonts w:ascii="Verdana" w:eastAsia="Verdana" w:hAnsi="Verdana" w:cs="Verdana"/>
          <w:color w:val="000066"/>
          <w:sz w:val="27"/>
          <w:szCs w:val="27"/>
        </w:rPr>
      </w:pPr>
      <w:r>
        <w:rPr>
          <w:rFonts w:ascii="Verdana" w:eastAsia="Verdana" w:hAnsi="Verdana" w:cs="Verdana"/>
          <w:b/>
          <w:color w:val="794D01"/>
          <w:sz w:val="20"/>
          <w:szCs w:val="20"/>
        </w:rPr>
        <w:t>Día 5 Oaxaca - Aeropuerto de Oaxaca</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Traslado del hotel de Oaxaca al Aeropuerto de Oaxaca. Incluidos: Transfer de salida</w:t>
      </w:r>
    </w:p>
    <w:p w:rsidR="005E65FC" w:rsidRDefault="005E65FC">
      <w:pPr>
        <w:shd w:val="clear" w:color="auto" w:fill="FFFFFF"/>
        <w:jc w:val="both"/>
        <w:rPr>
          <w:rFonts w:ascii="Verdana" w:eastAsia="Verdana" w:hAnsi="Verdana" w:cs="Verdana"/>
          <w:b/>
          <w:color w:val="794D01"/>
          <w:sz w:val="20"/>
          <w:szCs w:val="20"/>
        </w:rPr>
      </w:pPr>
    </w:p>
    <w:p w:rsidR="005E65FC" w:rsidRDefault="005E65FC">
      <w:pPr>
        <w:shd w:val="clear" w:color="auto" w:fill="FFFFFF"/>
        <w:jc w:val="both"/>
        <w:rPr>
          <w:rFonts w:ascii="Verdana" w:eastAsia="Verdana" w:hAnsi="Verdana" w:cs="Verdana"/>
          <w:b/>
          <w:color w:val="794D01"/>
          <w:sz w:val="20"/>
          <w:szCs w:val="20"/>
        </w:rPr>
      </w:pPr>
    </w:p>
    <w:p w:rsidR="005E65FC" w:rsidRDefault="00E45A91">
      <w:pPr>
        <w:shd w:val="clear" w:color="auto" w:fill="FFFFFF"/>
        <w:jc w:val="both"/>
        <w:rPr>
          <w:rFonts w:ascii="Verdana" w:eastAsia="Verdana" w:hAnsi="Verdana" w:cs="Verdana"/>
          <w:b/>
          <w:color w:val="794D01"/>
          <w:sz w:val="20"/>
          <w:szCs w:val="20"/>
        </w:rPr>
      </w:pPr>
      <w:r>
        <w:rPr>
          <w:rFonts w:ascii="Verdana" w:eastAsia="Verdana" w:hAnsi="Verdana" w:cs="Verdana"/>
          <w:b/>
          <w:color w:val="794D01"/>
          <w:sz w:val="20"/>
          <w:szCs w:val="20"/>
        </w:rPr>
        <w:t>*Unico Hotel considerado, sujeto a disponibilidad previa reservación.</w:t>
      </w:r>
    </w:p>
    <w:p w:rsidR="005E65FC" w:rsidRDefault="005E65FC">
      <w:pPr>
        <w:shd w:val="clear" w:color="auto" w:fill="FFFFFF"/>
        <w:jc w:val="both"/>
        <w:rPr>
          <w:rFonts w:ascii="Verdana" w:eastAsia="Verdana" w:hAnsi="Verdana" w:cs="Verdana"/>
          <w:b/>
          <w:color w:val="794D01"/>
          <w:sz w:val="20"/>
          <w:szCs w:val="20"/>
        </w:rPr>
      </w:pPr>
    </w:p>
    <w:p w:rsidR="005E65FC" w:rsidRDefault="00E45A91">
      <w:pPr>
        <w:shd w:val="clear" w:color="auto" w:fill="FFFFFF"/>
        <w:jc w:val="both"/>
        <w:rPr>
          <w:rFonts w:ascii="Verdana" w:eastAsia="Verdana" w:hAnsi="Verdana" w:cs="Verdana"/>
          <w:color w:val="000066"/>
          <w:sz w:val="27"/>
          <w:szCs w:val="27"/>
        </w:rPr>
      </w:pPr>
      <w:r>
        <w:rPr>
          <w:rFonts w:ascii="Verdana" w:eastAsia="Verdana" w:hAnsi="Verdana" w:cs="Verdana"/>
          <w:b/>
          <w:color w:val="794D01"/>
          <w:sz w:val="20"/>
          <w:szCs w:val="20"/>
        </w:rPr>
        <w:t>El paquete incluye</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*Tran</w:t>
      </w:r>
      <w:r>
        <w:rPr>
          <w:rFonts w:ascii="Verdana" w:eastAsia="Verdana" w:hAnsi="Verdana" w:cs="Verdana"/>
          <w:sz w:val="20"/>
          <w:szCs w:val="20"/>
        </w:rPr>
        <w:t>sportación terrestre con aire acondicionado en servicio compartido. El city tour se realiza caminando NO se utiliza la unidad.</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*Traslados aeropuerto-hotel-aeropuerto.</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*Chofer turístico en español durante todo el recorrido.</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*Todas las entradas a centros eco</w:t>
      </w:r>
      <w:r>
        <w:rPr>
          <w:rFonts w:ascii="Verdana" w:eastAsia="Verdana" w:hAnsi="Verdana" w:cs="Verdana"/>
          <w:sz w:val="20"/>
          <w:szCs w:val="20"/>
        </w:rPr>
        <w:t>turísticos, arqueológicos y de recreación mencionados en el itinerario.</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*Hospedaje en los hoteles antes mencionados.</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*Impuestos.</w:t>
      </w:r>
    </w:p>
    <w:p w:rsidR="005E65FC" w:rsidRDefault="00E45A91">
      <w:pPr>
        <w:jc w:val="center"/>
        <w:rPr>
          <w:rFonts w:ascii="Verdana" w:eastAsia="Verdana" w:hAnsi="Verdana" w:cs="Verdana"/>
          <w:b/>
          <w:i/>
          <w:color w:val="FF0000"/>
          <w:sz w:val="20"/>
          <w:szCs w:val="20"/>
          <w:u w:val="single"/>
        </w:rPr>
      </w:pPr>
      <w:r>
        <w:rPr>
          <w:rFonts w:ascii="Verdana" w:eastAsia="Verdana" w:hAnsi="Verdana" w:cs="Verdana"/>
          <w:b/>
          <w:i/>
          <w:color w:val="FF0000"/>
          <w:sz w:val="20"/>
          <w:szCs w:val="20"/>
          <w:u w:val="single"/>
        </w:rPr>
        <w:t>PRECIOS EN MONEDA NACIONAL.</w:t>
      </w:r>
    </w:p>
    <w:p w:rsidR="005E65FC" w:rsidRDefault="00E45A91">
      <w:pPr>
        <w:jc w:val="center"/>
        <w:rPr>
          <w:rFonts w:ascii="Verdana" w:eastAsia="Verdana" w:hAnsi="Verdana" w:cs="Verdana"/>
          <w:b/>
          <w:i/>
          <w:color w:val="FF0000"/>
          <w:sz w:val="20"/>
          <w:szCs w:val="20"/>
          <w:u w:val="single"/>
        </w:rPr>
      </w:pPr>
      <w:r>
        <w:rPr>
          <w:rFonts w:ascii="Verdana" w:eastAsia="Verdana" w:hAnsi="Verdana" w:cs="Verdana"/>
          <w:b/>
          <w:i/>
          <w:color w:val="FF0000"/>
          <w:sz w:val="20"/>
          <w:szCs w:val="20"/>
          <w:u w:val="single"/>
        </w:rPr>
        <w:t>POR HABITACION SEGÚN OCUPACIÓN.</w:t>
      </w:r>
    </w:p>
    <w:p w:rsidR="005E65FC" w:rsidRDefault="00E45A91">
      <w:pPr>
        <w:shd w:val="clear" w:color="auto" w:fill="FFFFFF"/>
        <w:jc w:val="center"/>
        <w:rPr>
          <w:rFonts w:ascii="Verdana" w:eastAsia="Verdana" w:hAnsi="Verdana" w:cs="Verdana"/>
          <w:color w:val="000066"/>
          <w:sz w:val="20"/>
          <w:szCs w:val="20"/>
        </w:rPr>
      </w:pPr>
      <w:r>
        <w:rPr>
          <w:rFonts w:ascii="Verdana" w:eastAsia="Verdana" w:hAnsi="Verdana" w:cs="Verdana"/>
          <w:i/>
          <w:color w:val="FF0000"/>
          <w:sz w:val="20"/>
          <w:szCs w:val="20"/>
        </w:rPr>
        <w:t>sujeto a disponibilidad</w:t>
      </w:r>
    </w:p>
    <w:p w:rsidR="005E65FC" w:rsidRDefault="00E45A91">
      <w:pPr>
        <w:jc w:val="center"/>
        <w:rPr>
          <w:rFonts w:ascii="Verdana" w:eastAsia="Verdana" w:hAnsi="Verdana" w:cs="Verdana"/>
          <w:color w:val="794D01"/>
          <w:sz w:val="20"/>
          <w:szCs w:val="20"/>
        </w:rPr>
      </w:pPr>
      <w:r>
        <w:rPr>
          <w:rFonts w:ascii="Verdana" w:eastAsia="Verdana" w:hAnsi="Verdana" w:cs="Verdana"/>
          <w:b/>
          <w:color w:val="794D01"/>
          <w:sz w:val="20"/>
          <w:szCs w:val="20"/>
        </w:rPr>
        <w:t>Precios Vigentes al 10 de Dic 2023</w:t>
      </w:r>
    </w:p>
    <w:tbl>
      <w:tblPr>
        <w:tblStyle w:val="a1"/>
        <w:tblW w:w="6135" w:type="dxa"/>
        <w:jc w:val="center"/>
        <w:tblInd w:w="0" w:type="dxa"/>
        <w:tblLayout w:type="fixed"/>
        <w:tblLook w:val="0400" w:firstRow="0" w:lastRow="0" w:firstColumn="0" w:lastColumn="0" w:noHBand="0" w:noVBand="1"/>
      </w:tblPr>
      <w:tblGrid>
        <w:gridCol w:w="1994"/>
        <w:gridCol w:w="2011"/>
        <w:gridCol w:w="2130"/>
      </w:tblGrid>
      <w:tr w:rsidR="005E65FC">
        <w:trPr>
          <w:trHeight w:val="345"/>
          <w:jc w:val="center"/>
        </w:trPr>
        <w:tc>
          <w:tcPr>
            <w:tcW w:w="1994" w:type="dxa"/>
            <w:tcBorders>
              <w:top w:val="single" w:sz="8" w:space="0" w:color="000000"/>
              <w:left w:val="single" w:sz="8" w:space="0" w:color="000000"/>
              <w:bottom w:val="single" w:sz="8" w:space="0" w:color="000000"/>
              <w:right w:val="single" w:sz="8" w:space="0" w:color="000000"/>
            </w:tcBorders>
            <w:vAlign w:val="center"/>
          </w:tcPr>
          <w:p w:rsidR="005E65FC" w:rsidRDefault="00E45A91">
            <w:pPr>
              <w:jc w:val="center"/>
              <w:rPr>
                <w:rFonts w:ascii="Verdana" w:eastAsia="Verdana" w:hAnsi="Verdana" w:cs="Verdana"/>
                <w:sz w:val="20"/>
                <w:szCs w:val="20"/>
              </w:rPr>
            </w:pPr>
            <w:r>
              <w:rPr>
                <w:rFonts w:ascii="Verdana" w:eastAsia="Verdana" w:hAnsi="Verdana" w:cs="Verdana"/>
                <w:b/>
                <w:sz w:val="20"/>
                <w:szCs w:val="20"/>
              </w:rPr>
              <w:t>DOBLE</w:t>
            </w:r>
          </w:p>
          <w:p w:rsidR="005E65FC" w:rsidRDefault="00E45A91">
            <w:pPr>
              <w:jc w:val="center"/>
              <w:rPr>
                <w:rFonts w:ascii="Verdana" w:eastAsia="Verdana" w:hAnsi="Verdana" w:cs="Verdana"/>
                <w:sz w:val="20"/>
                <w:szCs w:val="20"/>
              </w:rPr>
            </w:pPr>
            <w:r>
              <w:rPr>
                <w:rFonts w:ascii="Verdana" w:eastAsia="Verdana" w:hAnsi="Verdana" w:cs="Verdana"/>
                <w:b/>
                <w:sz w:val="20"/>
                <w:szCs w:val="20"/>
              </w:rPr>
              <w:t>(2 personas)</w:t>
            </w:r>
          </w:p>
        </w:tc>
        <w:tc>
          <w:tcPr>
            <w:tcW w:w="2011" w:type="dxa"/>
            <w:tcBorders>
              <w:top w:val="single" w:sz="8" w:space="0" w:color="000000"/>
              <w:left w:val="nil"/>
              <w:bottom w:val="single" w:sz="8" w:space="0" w:color="000000"/>
              <w:right w:val="single" w:sz="8" w:space="0" w:color="000000"/>
            </w:tcBorders>
            <w:vAlign w:val="center"/>
          </w:tcPr>
          <w:p w:rsidR="005E65FC" w:rsidRDefault="00E45A91">
            <w:pPr>
              <w:jc w:val="center"/>
              <w:rPr>
                <w:rFonts w:ascii="Verdana" w:eastAsia="Verdana" w:hAnsi="Verdana" w:cs="Verdana"/>
                <w:sz w:val="20"/>
                <w:szCs w:val="20"/>
              </w:rPr>
            </w:pPr>
            <w:r>
              <w:rPr>
                <w:rFonts w:ascii="Verdana" w:eastAsia="Verdana" w:hAnsi="Verdana" w:cs="Verdana"/>
                <w:b/>
                <w:sz w:val="20"/>
                <w:szCs w:val="20"/>
              </w:rPr>
              <w:t>TRIPLE</w:t>
            </w:r>
          </w:p>
          <w:p w:rsidR="005E65FC" w:rsidRDefault="00E45A91">
            <w:pPr>
              <w:jc w:val="center"/>
              <w:rPr>
                <w:rFonts w:ascii="Verdana" w:eastAsia="Verdana" w:hAnsi="Verdana" w:cs="Verdana"/>
                <w:sz w:val="20"/>
                <w:szCs w:val="20"/>
              </w:rPr>
            </w:pPr>
            <w:r>
              <w:rPr>
                <w:rFonts w:ascii="Verdana" w:eastAsia="Verdana" w:hAnsi="Verdana" w:cs="Verdana"/>
                <w:b/>
                <w:sz w:val="20"/>
                <w:szCs w:val="20"/>
              </w:rPr>
              <w:t>(3 Personas)</w:t>
            </w:r>
          </w:p>
        </w:tc>
        <w:tc>
          <w:tcPr>
            <w:tcW w:w="2130" w:type="dxa"/>
            <w:tcBorders>
              <w:top w:val="single" w:sz="8" w:space="0" w:color="000000"/>
              <w:left w:val="nil"/>
              <w:bottom w:val="single" w:sz="8" w:space="0" w:color="000000"/>
              <w:right w:val="single" w:sz="8" w:space="0" w:color="000000"/>
            </w:tcBorders>
            <w:vAlign w:val="center"/>
          </w:tcPr>
          <w:p w:rsidR="005E65FC" w:rsidRDefault="00E45A91">
            <w:pPr>
              <w:jc w:val="center"/>
              <w:rPr>
                <w:rFonts w:ascii="Verdana" w:eastAsia="Verdana" w:hAnsi="Verdana" w:cs="Verdana"/>
                <w:sz w:val="20"/>
                <w:szCs w:val="20"/>
              </w:rPr>
            </w:pPr>
            <w:r>
              <w:rPr>
                <w:rFonts w:ascii="Verdana" w:eastAsia="Verdana" w:hAnsi="Verdana" w:cs="Verdana"/>
                <w:b/>
                <w:sz w:val="20"/>
                <w:szCs w:val="20"/>
              </w:rPr>
              <w:t>MENOR 2-10</w:t>
            </w:r>
          </w:p>
        </w:tc>
      </w:tr>
      <w:tr w:rsidR="005E65FC">
        <w:trPr>
          <w:trHeight w:val="168"/>
          <w:jc w:val="center"/>
        </w:trPr>
        <w:tc>
          <w:tcPr>
            <w:tcW w:w="1994" w:type="dxa"/>
            <w:tcBorders>
              <w:top w:val="nil"/>
              <w:left w:val="single" w:sz="8" w:space="0" w:color="000000"/>
              <w:bottom w:val="single" w:sz="8" w:space="0" w:color="000000"/>
              <w:right w:val="single" w:sz="8" w:space="0" w:color="000000"/>
            </w:tcBorders>
            <w:vAlign w:val="center"/>
          </w:tcPr>
          <w:p w:rsidR="005E65FC" w:rsidRDefault="00E45A91">
            <w:pPr>
              <w:jc w:val="center"/>
              <w:rPr>
                <w:rFonts w:ascii="Verdana" w:eastAsia="Verdana" w:hAnsi="Verdana" w:cs="Verdana"/>
                <w:sz w:val="20"/>
                <w:szCs w:val="20"/>
              </w:rPr>
            </w:pPr>
            <w:r>
              <w:rPr>
                <w:rFonts w:ascii="Verdana" w:eastAsia="Verdana" w:hAnsi="Verdana" w:cs="Verdana"/>
                <w:b/>
                <w:sz w:val="20"/>
                <w:szCs w:val="20"/>
              </w:rPr>
              <w:t>$16,875</w:t>
            </w:r>
          </w:p>
        </w:tc>
        <w:tc>
          <w:tcPr>
            <w:tcW w:w="2011" w:type="dxa"/>
            <w:tcBorders>
              <w:top w:val="nil"/>
              <w:left w:val="nil"/>
              <w:bottom w:val="single" w:sz="8" w:space="0" w:color="000000"/>
              <w:right w:val="single" w:sz="8" w:space="0" w:color="000000"/>
            </w:tcBorders>
            <w:vAlign w:val="center"/>
          </w:tcPr>
          <w:p w:rsidR="005E65FC" w:rsidRDefault="00E45A91">
            <w:pPr>
              <w:jc w:val="center"/>
              <w:rPr>
                <w:rFonts w:ascii="Verdana" w:eastAsia="Verdana" w:hAnsi="Verdana" w:cs="Verdana"/>
                <w:sz w:val="20"/>
                <w:szCs w:val="20"/>
              </w:rPr>
            </w:pPr>
            <w:r>
              <w:rPr>
                <w:rFonts w:ascii="Verdana" w:eastAsia="Verdana" w:hAnsi="Verdana" w:cs="Verdana"/>
                <w:b/>
                <w:sz w:val="20"/>
                <w:szCs w:val="20"/>
              </w:rPr>
              <w:t>$23,063</w:t>
            </w:r>
          </w:p>
        </w:tc>
        <w:tc>
          <w:tcPr>
            <w:tcW w:w="2130" w:type="dxa"/>
            <w:tcBorders>
              <w:top w:val="nil"/>
              <w:left w:val="nil"/>
              <w:bottom w:val="single" w:sz="8" w:space="0" w:color="000000"/>
              <w:right w:val="single" w:sz="8" w:space="0" w:color="000000"/>
            </w:tcBorders>
            <w:vAlign w:val="center"/>
          </w:tcPr>
          <w:p w:rsidR="005E65FC" w:rsidRDefault="00E45A91">
            <w:pPr>
              <w:jc w:val="center"/>
              <w:rPr>
                <w:rFonts w:ascii="Verdana" w:eastAsia="Verdana" w:hAnsi="Verdana" w:cs="Verdana"/>
                <w:sz w:val="20"/>
                <w:szCs w:val="20"/>
              </w:rPr>
            </w:pPr>
            <w:r>
              <w:rPr>
                <w:rFonts w:ascii="Verdana" w:eastAsia="Verdana" w:hAnsi="Verdana" w:cs="Verdana"/>
                <w:b/>
                <w:sz w:val="20"/>
                <w:szCs w:val="20"/>
              </w:rPr>
              <w:t>$5,313</w:t>
            </w:r>
          </w:p>
        </w:tc>
      </w:tr>
    </w:tbl>
    <w:p w:rsidR="005E65FC" w:rsidRDefault="00E45A91">
      <w:pPr>
        <w:jc w:val="center"/>
        <w:rPr>
          <w:rFonts w:ascii="Verdana" w:eastAsia="Verdana" w:hAnsi="Verdana" w:cs="Verdana"/>
          <w:sz w:val="20"/>
          <w:szCs w:val="20"/>
        </w:rPr>
      </w:pPr>
      <w:r>
        <w:rPr>
          <w:rFonts w:ascii="Verdana" w:eastAsia="Verdana" w:hAnsi="Verdana" w:cs="Verdana"/>
          <w:b/>
          <w:sz w:val="20"/>
          <w:szCs w:val="20"/>
        </w:rPr>
        <w:t>Tarifas no aplican en Temporada Alta</w:t>
      </w:r>
    </w:p>
    <w:p w:rsidR="005E65FC" w:rsidRDefault="00E45A91">
      <w:pPr>
        <w:jc w:val="center"/>
        <w:rPr>
          <w:rFonts w:ascii="Verdana" w:eastAsia="Verdana" w:hAnsi="Verdana" w:cs="Verdana"/>
          <w:sz w:val="20"/>
          <w:szCs w:val="20"/>
        </w:rPr>
      </w:pPr>
      <w:r>
        <w:rPr>
          <w:rFonts w:ascii="Verdana" w:eastAsia="Verdana" w:hAnsi="Verdana" w:cs="Verdana"/>
          <w:sz w:val="20"/>
          <w:szCs w:val="20"/>
        </w:rPr>
        <w:t>Menores: 2 a 10 años cumplidos a la fecha del viaje.</w:t>
      </w:r>
    </w:p>
    <w:p w:rsidR="005E65FC" w:rsidRDefault="00E45A91">
      <w:pPr>
        <w:jc w:val="center"/>
        <w:rPr>
          <w:rFonts w:ascii="Verdana" w:eastAsia="Verdana" w:hAnsi="Verdana" w:cs="Verdana"/>
          <w:sz w:val="20"/>
          <w:szCs w:val="20"/>
        </w:rPr>
      </w:pPr>
      <w:r>
        <w:rPr>
          <w:rFonts w:ascii="Verdana" w:eastAsia="Verdana" w:hAnsi="Verdana" w:cs="Verdana"/>
          <w:sz w:val="20"/>
          <w:szCs w:val="20"/>
        </w:rPr>
        <w:t>Menores de 1 año viajan gratis sin embargo NO incluyen asiento en la unidad, cuna, entradas ni alimentos.</w:t>
      </w:r>
    </w:p>
    <w:p w:rsidR="005E65FC" w:rsidRDefault="00E45A91">
      <w:pPr>
        <w:jc w:val="center"/>
        <w:rPr>
          <w:rFonts w:ascii="Verdana" w:eastAsia="Verdana" w:hAnsi="Verdana" w:cs="Verdana"/>
          <w:sz w:val="20"/>
          <w:szCs w:val="20"/>
        </w:rPr>
      </w:pPr>
      <w:r>
        <w:rPr>
          <w:rFonts w:ascii="Verdana" w:eastAsia="Verdana" w:hAnsi="Verdana" w:cs="Verdana"/>
          <w:sz w:val="20"/>
          <w:szCs w:val="20"/>
        </w:rPr>
        <w:t>Aplica viajando mínimo 2 pasajeros.</w:t>
      </w:r>
    </w:p>
    <w:p w:rsidR="005E65FC" w:rsidRDefault="005E65FC">
      <w:pPr>
        <w:jc w:val="both"/>
        <w:rPr>
          <w:rFonts w:ascii="Verdana" w:eastAsia="Verdana" w:hAnsi="Verdana" w:cs="Verdana"/>
          <w:sz w:val="20"/>
          <w:szCs w:val="20"/>
        </w:rPr>
      </w:pPr>
    </w:p>
    <w:p w:rsidR="005E65FC" w:rsidRDefault="00E45A91">
      <w:pPr>
        <w:jc w:val="both"/>
        <w:rPr>
          <w:rFonts w:ascii="Verdana" w:eastAsia="Verdana" w:hAnsi="Verdana" w:cs="Verdana"/>
          <w:b/>
          <w:color w:val="FF0000"/>
          <w:sz w:val="20"/>
          <w:szCs w:val="20"/>
        </w:rPr>
      </w:pPr>
      <w:r>
        <w:rPr>
          <w:rFonts w:ascii="Verdana" w:eastAsia="Verdana" w:hAnsi="Verdana" w:cs="Verdana"/>
          <w:b/>
          <w:color w:val="FF0000"/>
          <w:sz w:val="20"/>
          <w:szCs w:val="20"/>
        </w:rPr>
        <w:t>El paquete NO incluye</w:t>
      </w:r>
    </w:p>
    <w:p w:rsidR="005E65FC" w:rsidRDefault="00E45A91">
      <w:pPr>
        <w:jc w:val="both"/>
        <w:rPr>
          <w:rFonts w:ascii="Verdana" w:eastAsia="Verdana" w:hAnsi="Verdana" w:cs="Verdana"/>
          <w:sz w:val="20"/>
          <w:szCs w:val="20"/>
        </w:rPr>
      </w:pPr>
      <w:r>
        <w:rPr>
          <w:rFonts w:ascii="Verdana" w:eastAsia="Verdana" w:hAnsi="Verdana" w:cs="Verdana"/>
          <w:sz w:val="20"/>
          <w:szCs w:val="20"/>
        </w:rPr>
        <w:t>*Vuelos.</w:t>
      </w:r>
    </w:p>
    <w:p w:rsidR="005E65FC" w:rsidRDefault="00E45A91">
      <w:pPr>
        <w:jc w:val="both"/>
        <w:rPr>
          <w:rFonts w:ascii="Verdana" w:eastAsia="Verdana" w:hAnsi="Verdana" w:cs="Verdana"/>
          <w:sz w:val="20"/>
          <w:szCs w:val="20"/>
        </w:rPr>
      </w:pPr>
      <w:r>
        <w:rPr>
          <w:rFonts w:ascii="Verdana" w:eastAsia="Verdana" w:hAnsi="Verdana" w:cs="Verdana"/>
          <w:sz w:val="20"/>
          <w:szCs w:val="20"/>
        </w:rPr>
        <w:t>*Cualquier otro servicio no especificado en el itinerario o en el apartado "</w:t>
      </w:r>
      <w:r>
        <w:rPr>
          <w:rFonts w:ascii="Verdana" w:eastAsia="Verdana" w:hAnsi="Verdana" w:cs="Verdana"/>
          <w:sz w:val="20"/>
          <w:szCs w:val="20"/>
        </w:rPr>
        <w:t>Incluye".</w:t>
      </w:r>
    </w:p>
    <w:p w:rsidR="005E65FC" w:rsidRDefault="00E45A91">
      <w:pPr>
        <w:jc w:val="both"/>
        <w:rPr>
          <w:rFonts w:ascii="Verdana" w:eastAsia="Verdana" w:hAnsi="Verdana" w:cs="Verdana"/>
          <w:sz w:val="20"/>
          <w:szCs w:val="20"/>
        </w:rPr>
      </w:pPr>
      <w:r>
        <w:rPr>
          <w:rFonts w:ascii="Verdana" w:eastAsia="Verdana" w:hAnsi="Verdana" w:cs="Verdana"/>
          <w:sz w:val="20"/>
          <w:szCs w:val="20"/>
        </w:rPr>
        <w:t>*Guía turístico.</w:t>
      </w:r>
    </w:p>
    <w:p w:rsidR="005E65FC" w:rsidRDefault="00E45A91">
      <w:pPr>
        <w:jc w:val="both"/>
        <w:rPr>
          <w:rFonts w:ascii="Verdana" w:eastAsia="Verdana" w:hAnsi="Verdana" w:cs="Verdana"/>
          <w:sz w:val="20"/>
          <w:szCs w:val="20"/>
        </w:rPr>
      </w:pPr>
      <w:r>
        <w:rPr>
          <w:rFonts w:ascii="Verdana" w:eastAsia="Verdana" w:hAnsi="Verdana" w:cs="Verdana"/>
          <w:sz w:val="20"/>
          <w:szCs w:val="20"/>
        </w:rPr>
        <w:t>*Desayunos, comidas y cenas.(excepto donde se indique lo contrario)</w:t>
      </w:r>
    </w:p>
    <w:p w:rsidR="005E65FC" w:rsidRDefault="00E45A91">
      <w:pPr>
        <w:jc w:val="both"/>
        <w:rPr>
          <w:rFonts w:ascii="Verdana" w:eastAsia="Verdana" w:hAnsi="Verdana" w:cs="Verdana"/>
          <w:sz w:val="20"/>
          <w:szCs w:val="20"/>
        </w:rPr>
      </w:pPr>
      <w:r>
        <w:rPr>
          <w:rFonts w:ascii="Verdana" w:eastAsia="Verdana" w:hAnsi="Verdana" w:cs="Verdana"/>
          <w:sz w:val="20"/>
          <w:szCs w:val="20"/>
        </w:rPr>
        <w:t>*Propinas a camaristas, maleteros, guías y operadores a consideración del cliente.</w:t>
      </w:r>
    </w:p>
    <w:p w:rsidR="005E65FC" w:rsidRDefault="005E65FC">
      <w:pPr>
        <w:jc w:val="both"/>
        <w:rPr>
          <w:rFonts w:ascii="Verdana" w:eastAsia="Verdana" w:hAnsi="Verdana" w:cs="Verdana"/>
          <w:color w:val="794D01"/>
          <w:sz w:val="20"/>
          <w:szCs w:val="20"/>
        </w:rPr>
      </w:pPr>
    </w:p>
    <w:p w:rsidR="005E65FC" w:rsidRDefault="00E45A91">
      <w:pPr>
        <w:shd w:val="clear" w:color="auto" w:fill="FFFFFF"/>
        <w:jc w:val="both"/>
        <w:rPr>
          <w:rFonts w:ascii="Verdana" w:eastAsia="Verdana" w:hAnsi="Verdana" w:cs="Verdana"/>
          <w:color w:val="000066"/>
          <w:sz w:val="27"/>
          <w:szCs w:val="27"/>
        </w:rPr>
      </w:pPr>
      <w:r>
        <w:rPr>
          <w:rFonts w:ascii="Verdana" w:eastAsia="Verdana" w:hAnsi="Verdana" w:cs="Verdana"/>
          <w:b/>
          <w:color w:val="794D01"/>
          <w:sz w:val="20"/>
          <w:szCs w:val="20"/>
        </w:rPr>
        <w:t>Notas y Tips de viaje</w:t>
      </w:r>
    </w:p>
    <w:p w:rsidR="005E65FC" w:rsidRDefault="00E45A91">
      <w:pPr>
        <w:shd w:val="clear" w:color="auto" w:fill="FFFFFF"/>
        <w:jc w:val="both"/>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b/>
          <w:sz w:val="20"/>
          <w:szCs w:val="20"/>
        </w:rPr>
        <w:t>Si su circuito incluye Hierve el Agua</w:t>
      </w:r>
      <w:r>
        <w:rPr>
          <w:rFonts w:ascii="Verdana" w:eastAsia="Verdana" w:hAnsi="Verdana" w:cs="Verdana"/>
          <w:sz w:val="20"/>
          <w:szCs w:val="20"/>
        </w:rPr>
        <w:t> deberá firmar un</w:t>
      </w:r>
      <w:r>
        <w:rPr>
          <w:rFonts w:ascii="Verdana" w:eastAsia="Verdana" w:hAnsi="Verdana" w:cs="Verdana"/>
          <w:sz w:val="20"/>
          <w:szCs w:val="20"/>
        </w:rPr>
        <w:t xml:space="preserve">a carta responsiva en el destino y la visita se encuentra sujeta específicamente a disponibilidad por cualquier tema de bloqueo, problemas carreteros, lluvias entre otros que nos impidan acceder al destino. </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*Orden de itinerario sujeto a cambios, mismos qu</w:t>
      </w:r>
      <w:r>
        <w:rPr>
          <w:rFonts w:ascii="Verdana" w:eastAsia="Verdana" w:hAnsi="Verdana" w:cs="Verdana"/>
          <w:sz w:val="20"/>
          <w:szCs w:val="20"/>
        </w:rPr>
        <w:t>e serán notificados hasta 3 días antes de su viaje a la agencia o en caso fortuito al pasajero en el destino.</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*ÚNICO hotel considerado sujeto a disponibilidad, previa reservación.</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*El presente itinerario no garantiza el bloqueo y/o reservación de lo cotiza</w:t>
      </w:r>
      <w:r>
        <w:rPr>
          <w:rFonts w:ascii="Verdana" w:eastAsia="Verdana" w:hAnsi="Verdana" w:cs="Verdana"/>
          <w:sz w:val="20"/>
          <w:szCs w:val="20"/>
        </w:rPr>
        <w:t>do.</w:t>
      </w:r>
    </w:p>
    <w:p w:rsidR="005E65FC" w:rsidRDefault="00E45A91">
      <w:pPr>
        <w:shd w:val="clear" w:color="auto" w:fill="FFFFFF"/>
        <w:jc w:val="both"/>
        <w:rPr>
          <w:rFonts w:ascii="Verdana" w:eastAsia="Verdana" w:hAnsi="Verdana" w:cs="Verdana"/>
          <w:sz w:val="27"/>
          <w:szCs w:val="27"/>
        </w:rPr>
      </w:pPr>
      <w:bookmarkStart w:id="1" w:name="_heading=h.tyjcwt" w:colFirst="0" w:colLast="0"/>
      <w:bookmarkEnd w:id="1"/>
      <w:r>
        <w:rPr>
          <w:rFonts w:ascii="Verdana" w:eastAsia="Verdana" w:hAnsi="Verdana" w:cs="Verdana"/>
          <w:sz w:val="20"/>
          <w:szCs w:val="20"/>
        </w:rPr>
        <w:t>*NO aplica para temporadas altas, ni vacaciones.</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*Orden de itinerario sujeto a cambios, mismos que serán notificados al pasajero en el destino.</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*No nos hacemos responsables por las afectaciones climatológicas y/o políticas que puedan impedir completar alguna excursión. Sin embargo, siempre tratamos de ofrecer alternativas para que se visiten la mayoría de los atractivos ofrecidos posibles.</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*No aplica reembolso por servicios no utilizados.</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*Los cambios realizados pueden generar cargos.</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*Seguro de viaje dentro de la unidad de transporte. No aplica caídas o accidentes en los atractivos turísticos y zonas arqueológicas</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*En servicio privado la un</w:t>
      </w:r>
      <w:r>
        <w:rPr>
          <w:rFonts w:ascii="Verdana" w:eastAsia="Verdana" w:hAnsi="Verdana" w:cs="Verdana"/>
          <w:sz w:val="20"/>
          <w:szCs w:val="20"/>
        </w:rPr>
        <w:t>idad de transporte no es a disposición, se cobrará por hora/km adicional (Salvo donde se indique lo contrario).</w:t>
      </w:r>
    </w:p>
    <w:p w:rsidR="005E65FC" w:rsidRDefault="00E45A91">
      <w:pPr>
        <w:shd w:val="clear" w:color="auto" w:fill="FFFFFF"/>
        <w:jc w:val="both"/>
        <w:rPr>
          <w:rFonts w:ascii="Verdana" w:eastAsia="Verdana" w:hAnsi="Verdana" w:cs="Verdana"/>
          <w:sz w:val="27"/>
          <w:szCs w:val="27"/>
        </w:rPr>
      </w:pPr>
      <w:r>
        <w:rPr>
          <w:rFonts w:ascii="Verdana" w:eastAsia="Verdana" w:hAnsi="Verdana" w:cs="Verdana"/>
          <w:sz w:val="20"/>
          <w:szCs w:val="20"/>
        </w:rPr>
        <w:t>*Sujeto a disponibilidad.</w:t>
      </w:r>
    </w:p>
    <w:p w:rsidR="005E65FC" w:rsidRDefault="00E45A91">
      <w:pPr>
        <w:shd w:val="clear" w:color="auto" w:fill="FFFFFF"/>
        <w:jc w:val="both"/>
        <w:rPr>
          <w:rFonts w:ascii="Verdana" w:eastAsia="Verdana" w:hAnsi="Verdana" w:cs="Verdana"/>
          <w:sz w:val="20"/>
          <w:szCs w:val="20"/>
        </w:rPr>
      </w:pPr>
      <w:r>
        <w:rPr>
          <w:rFonts w:ascii="Verdana" w:eastAsia="Verdana" w:hAnsi="Verdana" w:cs="Verdana"/>
          <w:sz w:val="20"/>
          <w:szCs w:val="20"/>
        </w:rPr>
        <w:t>*Tarifas sujetas a cambios sin previo aviso.</w:t>
      </w:r>
    </w:p>
    <w:sectPr w:rsidR="005E65FC">
      <w:headerReference w:type="default" r:id="rId11"/>
      <w:footerReference w:type="default" r:id="rId12"/>
      <w:pgSz w:w="12240" w:h="15840"/>
      <w:pgMar w:top="2088" w:right="540" w:bottom="1276" w:left="720" w:header="141" w:footer="48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A91" w:rsidRDefault="00E45A91">
      <w:r>
        <w:separator/>
      </w:r>
    </w:p>
  </w:endnote>
  <w:endnote w:type="continuationSeparator" w:id="0">
    <w:p w:rsidR="00E45A91" w:rsidRDefault="00E45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5FC" w:rsidRDefault="00E45A91">
    <w:pPr>
      <w:pBdr>
        <w:top w:val="nil"/>
        <w:left w:val="nil"/>
        <w:bottom w:val="nil"/>
        <w:right w:val="nil"/>
        <w:between w:val="nil"/>
      </w:pBdr>
      <w:tabs>
        <w:tab w:val="center" w:pos="4419"/>
        <w:tab w:val="right" w:pos="8838"/>
      </w:tabs>
      <w:rPr>
        <w:color w:val="000000"/>
      </w:rPr>
    </w:pPr>
    <w:r>
      <w:rPr>
        <w:noProof/>
        <w:lang w:val="es-MX"/>
      </w:rPr>
      <mc:AlternateContent>
        <mc:Choice Requires="wps">
          <w:drawing>
            <wp:anchor distT="0" distB="0" distL="114300" distR="114300" simplePos="0" relativeHeight="251660288" behindDoc="0" locked="0" layoutInCell="1" hidden="0" allowOverlap="1">
              <wp:simplePos x="0" y="0"/>
              <wp:positionH relativeFrom="column">
                <wp:posOffset>-101599</wp:posOffset>
              </wp:positionH>
              <wp:positionV relativeFrom="paragraph">
                <wp:posOffset>88900</wp:posOffset>
              </wp:positionV>
              <wp:extent cx="0" cy="38100"/>
              <wp:effectExtent l="0" t="0" r="0" b="0"/>
              <wp:wrapNone/>
              <wp:docPr id="10" name="10 Conector recto de flecha"/>
              <wp:cNvGraphicFramePr/>
              <a:graphic xmlns:a="http://schemas.openxmlformats.org/drawingml/2006/main">
                <a:graphicData uri="http://schemas.microsoft.com/office/word/2010/wordprocessingShape">
                  <wps:wsp>
                    <wps:cNvCnPr/>
                    <wps:spPr>
                      <a:xfrm>
                        <a:off x="1774125" y="3780000"/>
                        <a:ext cx="7143750" cy="0"/>
                      </a:xfrm>
                      <a:prstGeom prst="straightConnector1">
                        <a:avLst/>
                      </a:prstGeom>
                      <a:noFill/>
                      <a:ln w="38100" cap="flat" cmpd="sng">
                        <a:solidFill>
                          <a:srgbClr val="6699FF"/>
                        </a:solidFill>
                        <a:prstDash val="solid"/>
                        <a:round/>
                        <a:headEnd type="none" w="sm" len="sm"/>
                        <a:tailEnd type="none" w="sm" len="sm"/>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-101599</wp:posOffset>
              </wp:positionH>
              <wp:positionV relativeFrom="paragraph">
                <wp:posOffset>88900</wp:posOffset>
              </wp:positionV>
              <wp:extent cx="0" cy="38100"/>
              <wp:effectExtent b="0" l="0" r="0" t="0"/>
              <wp:wrapNone/>
              <wp:docPr id="1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38100"/>
                      </a:xfrm>
                      <a:prstGeom prst="rect"/>
                      <a:ln/>
                    </pic:spPr>
                  </pic:pic>
                </a:graphicData>
              </a:graphic>
            </wp:anchor>
          </w:drawing>
        </mc:Fallback>
      </mc:AlternateContent>
    </w:r>
  </w:p>
  <w:p w:rsidR="005E65FC" w:rsidRDefault="00E45A91">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r>
      <w:rPr>
        <w:rFonts w:ascii="Verdana" w:eastAsia="Verdana" w:hAnsi="Verdana" w:cs="Verdana"/>
        <w:color w:val="000000"/>
        <w:sz w:val="20"/>
        <w:szCs w:val="20"/>
      </w:rPr>
      <w:t>Informes y Reservaciones</w:t>
    </w:r>
  </w:p>
  <w:p w:rsidR="005E65FC" w:rsidRDefault="005E65FC">
    <w:pPr>
      <w:pBdr>
        <w:top w:val="nil"/>
        <w:left w:val="nil"/>
        <w:bottom w:val="nil"/>
        <w:right w:val="nil"/>
        <w:between w:val="nil"/>
      </w:pBdr>
      <w:tabs>
        <w:tab w:val="center" w:pos="4419"/>
        <w:tab w:val="right" w:pos="8838"/>
      </w:tabs>
      <w:jc w:val="center"/>
      <w:rPr>
        <w:rFonts w:ascii="Verdana" w:eastAsia="Verdana" w:hAnsi="Verdana" w:cs="Verdana"/>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A91" w:rsidRDefault="00E45A91">
      <w:r>
        <w:separator/>
      </w:r>
    </w:p>
  </w:footnote>
  <w:footnote w:type="continuationSeparator" w:id="0">
    <w:p w:rsidR="00E45A91" w:rsidRDefault="00E45A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5FC" w:rsidRDefault="00E45A91">
    <w:pPr>
      <w:pBdr>
        <w:top w:val="nil"/>
        <w:left w:val="nil"/>
        <w:bottom w:val="nil"/>
        <w:right w:val="nil"/>
        <w:between w:val="nil"/>
      </w:pBdr>
      <w:tabs>
        <w:tab w:val="center" w:pos="4419"/>
        <w:tab w:val="right" w:pos="8838"/>
      </w:tabs>
      <w:rPr>
        <w:color w:val="000000"/>
      </w:rPr>
    </w:pPr>
    <w:r>
      <w:rPr>
        <w:color w:val="000000"/>
      </w:rPr>
      <w:t xml:space="preserve"> </w:t>
    </w:r>
    <w:r>
      <w:rPr>
        <w:noProof/>
        <w:lang w:val="es-MX"/>
      </w:rPr>
      <w:drawing>
        <wp:anchor distT="0" distB="0" distL="114300" distR="114300" simplePos="0" relativeHeight="251658240" behindDoc="0" locked="0" layoutInCell="1" hidden="0" allowOverlap="1">
          <wp:simplePos x="0" y="0"/>
          <wp:positionH relativeFrom="column">
            <wp:posOffset>1724025</wp:posOffset>
          </wp:positionH>
          <wp:positionV relativeFrom="paragraph">
            <wp:posOffset>53339</wp:posOffset>
          </wp:positionV>
          <wp:extent cx="3766820" cy="978535"/>
          <wp:effectExtent l="114300" t="57150" r="81280" b="126365"/>
          <wp:wrapSquare wrapText="bothSides" distT="0" distB="0" distL="114300" distR="1143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766820" cy="9785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E65FC" w:rsidRDefault="00E45A91">
    <w:pPr>
      <w:pBdr>
        <w:top w:val="nil"/>
        <w:left w:val="nil"/>
        <w:bottom w:val="nil"/>
        <w:right w:val="nil"/>
        <w:between w:val="nil"/>
      </w:pBdr>
      <w:tabs>
        <w:tab w:val="center" w:pos="4419"/>
        <w:tab w:val="right" w:pos="8838"/>
      </w:tabs>
    </w:pPr>
    <w:r>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-114299</wp:posOffset>
              </wp:positionH>
              <wp:positionV relativeFrom="paragraph">
                <wp:posOffset>952500</wp:posOffset>
              </wp:positionV>
              <wp:extent cx="0" cy="38100"/>
              <wp:effectExtent l="0" t="0" r="0" b="0"/>
              <wp:wrapNone/>
              <wp:docPr id="11" name="11 Conector recto de flecha"/>
              <wp:cNvGraphicFramePr/>
              <a:graphic xmlns:a="http://schemas.openxmlformats.org/drawingml/2006/main">
                <a:graphicData uri="http://schemas.microsoft.com/office/word/2010/wordprocessingShape">
                  <wps:wsp>
                    <wps:cNvCnPr/>
                    <wps:spPr>
                      <a:xfrm>
                        <a:off x="1774125" y="3780000"/>
                        <a:ext cx="7143750" cy="0"/>
                      </a:xfrm>
                      <a:prstGeom prst="straightConnector1">
                        <a:avLst/>
                      </a:prstGeom>
                      <a:noFill/>
                      <a:ln w="38100" cap="flat" cmpd="sng">
                        <a:solidFill>
                          <a:srgbClr val="6699FF"/>
                        </a:solidFill>
                        <a:prstDash val="solid"/>
                        <a:round/>
                        <a:headEnd type="none" w="sm" len="sm"/>
                        <a:tailEnd type="none" w="sm" len="sm"/>
                      </a:ln>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952500</wp:posOffset>
              </wp:positionV>
              <wp:extent cx="0" cy="38100"/>
              <wp:effectExtent b="0" l="0" r="0" t="0"/>
              <wp:wrapNone/>
              <wp:docPr id="1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0" cy="381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5E65FC"/>
    <w:rsid w:val="005E65FC"/>
    <w:rsid w:val="00BD0AD4"/>
    <w:rsid w:val="00E45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it-IT"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spacing w:before="240" w:after="60"/>
      <w:outlineLvl w:val="0"/>
    </w:pPr>
    <w:rPr>
      <w:rFonts w:ascii="Arial" w:eastAsia="Arial" w:hAnsi="Arial" w:cs="Arial"/>
      <w:b/>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57539C"/>
    <w:pPr>
      <w:tabs>
        <w:tab w:val="center" w:pos="4419"/>
        <w:tab w:val="right" w:pos="8838"/>
      </w:tabs>
    </w:pPr>
  </w:style>
  <w:style w:type="character" w:customStyle="1" w:styleId="EncabezadoCar">
    <w:name w:val="Encabezado Car"/>
    <w:basedOn w:val="Fuentedeprrafopredeter"/>
    <w:link w:val="Encabezado"/>
    <w:uiPriority w:val="99"/>
    <w:rsid w:val="0057539C"/>
  </w:style>
  <w:style w:type="paragraph" w:styleId="Piedepgina">
    <w:name w:val="footer"/>
    <w:basedOn w:val="Normal"/>
    <w:link w:val="PiedepginaCar"/>
    <w:uiPriority w:val="99"/>
    <w:unhideWhenUsed/>
    <w:rsid w:val="0057539C"/>
    <w:pPr>
      <w:tabs>
        <w:tab w:val="center" w:pos="4419"/>
        <w:tab w:val="right" w:pos="8838"/>
      </w:tabs>
    </w:pPr>
  </w:style>
  <w:style w:type="character" w:customStyle="1" w:styleId="PiedepginaCar">
    <w:name w:val="Pie de página Car"/>
    <w:basedOn w:val="Fuentedeprrafopredeter"/>
    <w:link w:val="Piedepgina"/>
    <w:uiPriority w:val="99"/>
    <w:rsid w:val="0057539C"/>
  </w:style>
  <w:style w:type="paragraph" w:styleId="Prrafodelista">
    <w:name w:val="List Paragraph"/>
    <w:basedOn w:val="Normal"/>
    <w:uiPriority w:val="34"/>
    <w:qFormat/>
    <w:rsid w:val="0057539C"/>
    <w:pPr>
      <w:ind w:left="720"/>
      <w:contextualSpacing/>
    </w:p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it-IT"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spacing w:before="240" w:after="60"/>
      <w:outlineLvl w:val="0"/>
    </w:pPr>
    <w:rPr>
      <w:rFonts w:ascii="Arial" w:eastAsia="Arial" w:hAnsi="Arial" w:cs="Arial"/>
      <w:b/>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57539C"/>
    <w:pPr>
      <w:tabs>
        <w:tab w:val="center" w:pos="4419"/>
        <w:tab w:val="right" w:pos="8838"/>
      </w:tabs>
    </w:pPr>
  </w:style>
  <w:style w:type="character" w:customStyle="1" w:styleId="EncabezadoCar">
    <w:name w:val="Encabezado Car"/>
    <w:basedOn w:val="Fuentedeprrafopredeter"/>
    <w:link w:val="Encabezado"/>
    <w:uiPriority w:val="99"/>
    <w:rsid w:val="0057539C"/>
  </w:style>
  <w:style w:type="paragraph" w:styleId="Piedepgina">
    <w:name w:val="footer"/>
    <w:basedOn w:val="Normal"/>
    <w:link w:val="PiedepginaCar"/>
    <w:uiPriority w:val="99"/>
    <w:unhideWhenUsed/>
    <w:rsid w:val="0057539C"/>
    <w:pPr>
      <w:tabs>
        <w:tab w:val="center" w:pos="4419"/>
        <w:tab w:val="right" w:pos="8838"/>
      </w:tabs>
    </w:pPr>
  </w:style>
  <w:style w:type="character" w:customStyle="1" w:styleId="PiedepginaCar">
    <w:name w:val="Pie de página Car"/>
    <w:basedOn w:val="Fuentedeprrafopredeter"/>
    <w:link w:val="Piedepgina"/>
    <w:uiPriority w:val="99"/>
    <w:rsid w:val="0057539C"/>
  </w:style>
  <w:style w:type="paragraph" w:styleId="Prrafodelista">
    <w:name w:val="List Paragraph"/>
    <w:basedOn w:val="Normal"/>
    <w:uiPriority w:val="34"/>
    <w:qFormat/>
    <w:rsid w:val="0057539C"/>
    <w:pPr>
      <w:ind w:left="720"/>
      <w:contextualSpacing/>
    </w:p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8LZz0NQHs5nwu0tIVftFjpsgj0Q==">AMUW2mWWIx2ga/bqCOhK/u+HKpSHTxZvxgexUVW67BvXWy3tEQiuPuJl8mk2Zkk/RBNFia4i+o6RHaKQebUmYvYn/YPuTgzmbuek+ECASETBegT9wm45/oPVKWg1SlSqS03eVLmWvanC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905</Words>
  <Characters>4983</Characters>
  <Application>Microsoft Office Word</Application>
  <DocSecurity>0</DocSecurity>
  <Lines>41</Lines>
  <Paragraphs>11</Paragraphs>
  <ScaleCrop>false</ScaleCrop>
  <Company>Hewlett-Packard</Company>
  <LinksUpToDate>false</LinksUpToDate>
  <CharactersWithSpaces>5877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Witnes Gamboa</dc:creator>
  <cp:lastModifiedBy>David Gamboa</cp:lastModifiedBy>
  <cp:revision>2</cp:revision>
  <dcterms:created xsi:type="dcterms:W3CDTF">2023-02-13T18:14:00Z</dcterms:created>
  <dcterms:modified xsi:type="dcterms:W3CDTF">2023-02-14T05:25:00Z</dcterms:modified>
</cp:coreProperties>
</file>